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7328" w:type="dxa"/>
        <w:tblInd w:w="0" w:type="dxa"/>
        <w:tblLayout w:type="fixed"/>
        <w:tblCellMar>
          <w:top w:w="15" w:type="dxa"/>
          <w:left w:w="15" w:type="dxa"/>
          <w:bottom w:w="15" w:type="dxa"/>
          <w:right w:w="15" w:type="dxa"/>
        </w:tblCellMar>
      </w:tblPr>
      <w:tblGrid>
        <w:gridCol w:w="664"/>
        <w:gridCol w:w="1096"/>
        <w:gridCol w:w="1334"/>
        <w:gridCol w:w="1160"/>
        <w:gridCol w:w="4742"/>
        <w:gridCol w:w="1318"/>
        <w:gridCol w:w="1271"/>
        <w:gridCol w:w="1049"/>
        <w:gridCol w:w="1080"/>
        <w:gridCol w:w="926"/>
        <w:gridCol w:w="88"/>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gridCol w:w="38"/>
        <w:gridCol w:w="12"/>
        <w:gridCol w:w="50"/>
        <w:gridCol w:w="50"/>
        <w:gridCol w:w="50"/>
        <w:gridCol w:w="50"/>
        <w:gridCol w:w="50"/>
        <w:gridCol w:w="50"/>
        <w:gridCol w:w="50"/>
      </w:tblGrid>
      <w:tr>
        <w:tblPrEx>
          <w:tblLayout w:type="fixed"/>
          <w:tblCellMar>
            <w:top w:w="15" w:type="dxa"/>
            <w:left w:w="15" w:type="dxa"/>
            <w:bottom w:w="15" w:type="dxa"/>
            <w:right w:w="15" w:type="dxa"/>
          </w:tblCellMar>
        </w:tblPrEx>
        <w:trPr>
          <w:gridAfter w:val="8"/>
          <w:wAfter w:w="362" w:type="dxa"/>
          <w:trHeight w:val="990" w:hRule="atLeast"/>
        </w:trPr>
        <w:tc>
          <w:tcPr>
            <w:tcW w:w="16966" w:type="dxa"/>
            <w:gridSpan w:val="56"/>
            <w:vAlign w:val="center"/>
          </w:tcPr>
          <w:p>
            <w:pPr>
              <w:rPr>
                <w:rFonts w:ascii="黑体" w:hAnsi="黑体" w:eastAsia="黑体" w:cs="黑体"/>
                <w:b/>
                <w:sz w:val="32"/>
                <w:szCs w:val="36"/>
              </w:rPr>
            </w:pPr>
            <w:r>
              <w:rPr>
                <w:rFonts w:hint="eastAsia" w:ascii="黑体" w:hAnsi="黑体" w:eastAsia="黑体" w:cs="黑体"/>
                <w:b/>
                <w:sz w:val="32"/>
                <w:szCs w:val="36"/>
              </w:rPr>
              <w:t xml:space="preserve">       </w:t>
            </w:r>
            <w:r>
              <w:rPr>
                <w:rFonts w:hint="eastAsia" w:ascii="黑体" w:hAnsi="黑体" w:eastAsia="黑体" w:cs="黑体"/>
                <w:b/>
                <w:sz w:val="32"/>
                <w:szCs w:val="32"/>
              </w:rPr>
              <w:t xml:space="preserve">   2016年投资美国加利福尼亚州项目（来源:加州州长商业与经济发展办公室）</w:t>
            </w:r>
          </w:p>
          <w:p>
            <w:pPr>
              <w:jc w:val="center"/>
              <w:rPr>
                <w:rFonts w:ascii="黑体" w:hAnsi="黑体" w:eastAsia="黑体" w:cs="黑体"/>
                <w:b/>
                <w:sz w:val="32"/>
                <w:szCs w:val="36"/>
              </w:rPr>
            </w:pPr>
          </w:p>
        </w:tc>
      </w:tr>
      <w:tr>
        <w:tblPrEx>
          <w:tblLayout w:type="fixed"/>
          <w:tblCellMar>
            <w:top w:w="15" w:type="dxa"/>
            <w:left w:w="15" w:type="dxa"/>
            <w:bottom w:w="15" w:type="dxa"/>
            <w:right w:w="15" w:type="dxa"/>
          </w:tblCellMar>
        </w:tblPrEx>
        <w:trPr>
          <w:trHeight w:val="10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序号</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项目类别</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所在城市</w:t>
            </w:r>
          </w:p>
        </w:tc>
        <w:tc>
          <w:tcPr>
            <w:tcW w:w="1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项目名称</w:t>
            </w:r>
          </w:p>
        </w:tc>
        <w:tc>
          <w:tcPr>
            <w:tcW w:w="47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项目概述</w:t>
            </w:r>
            <w:bookmarkStart w:id="0" w:name="_GoBack"/>
            <w:bookmarkEnd w:id="0"/>
          </w:p>
        </w:tc>
        <w:tc>
          <w:tcPr>
            <w:tcW w:w="13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lang w:val="en-US" w:eastAsia="zh-CN"/>
              </w:rPr>
              <w:t>预期</w:t>
            </w:r>
            <w:r>
              <w:rPr>
                <w:rFonts w:hint="eastAsia" w:ascii="宋体" w:hAnsi="宋体"/>
                <w:b/>
                <w:sz w:val="24"/>
              </w:rPr>
              <w:t>资产</w:t>
            </w:r>
            <w:r>
              <w:rPr>
                <w:rFonts w:hint="eastAsia" w:ascii="宋体" w:hAnsi="宋体"/>
                <w:b/>
                <w:sz w:val="24"/>
                <w:lang w:val="en-US" w:eastAsia="zh-CN"/>
              </w:rPr>
              <w:t xml:space="preserve"> 总</w:t>
            </w:r>
            <w:r>
              <w:rPr>
                <w:rFonts w:hint="eastAsia" w:ascii="宋体" w:hAnsi="宋体"/>
                <w:b/>
                <w:sz w:val="24"/>
              </w:rPr>
              <w:t>规模</w:t>
            </w:r>
          </w:p>
        </w:tc>
        <w:tc>
          <w:tcPr>
            <w:tcW w:w="12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lang w:val="en-US" w:eastAsia="zh-CN"/>
              </w:rPr>
              <w:t>预期</w:t>
            </w:r>
            <w:r>
              <w:rPr>
                <w:rFonts w:hint="eastAsia" w:ascii="宋体" w:hAnsi="宋体"/>
                <w:b/>
                <w:sz w:val="24"/>
              </w:rPr>
              <w:t>投资</w:t>
            </w:r>
            <w:r>
              <w:rPr>
                <w:rFonts w:hint="eastAsia" w:ascii="宋体" w:hAnsi="宋体"/>
                <w:b/>
                <w:sz w:val="24"/>
                <w:lang w:val="en-US" w:eastAsia="zh-CN"/>
              </w:rPr>
              <w:t xml:space="preserve"> </w:t>
            </w:r>
            <w:r>
              <w:rPr>
                <w:rFonts w:hint="eastAsia" w:ascii="宋体" w:hAnsi="宋体"/>
                <w:b/>
                <w:sz w:val="24"/>
              </w:rPr>
              <w:t>规模</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预期收益</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lang w:val="en-US" w:eastAsia="zh-CN"/>
              </w:rPr>
              <w:t>预期</w:t>
            </w:r>
            <w:r>
              <w:rPr>
                <w:rFonts w:hint="eastAsia" w:ascii="宋体" w:hAnsi="宋体"/>
                <w:b/>
                <w:sz w:val="24"/>
              </w:rPr>
              <w:t>雇员人数</w:t>
            </w:r>
          </w:p>
        </w:tc>
        <w:tc>
          <w:tcPr>
            <w:tcW w:w="926" w:type="dxa"/>
            <w:vAlign w:val="center"/>
          </w:tcPr>
          <w:p>
            <w:pPr>
              <w:jc w:val="center"/>
              <w:rPr>
                <w:rFonts w:ascii="宋体" w:hAnsi="宋体"/>
                <w:b/>
                <w:sz w:val="32"/>
                <w:szCs w:val="36"/>
              </w:rPr>
            </w:pPr>
          </w:p>
        </w:tc>
        <w:tc>
          <w:tcPr>
            <w:tcW w:w="88"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vAlign w:val="center"/>
          </w:tcPr>
          <w:p>
            <w:pPr>
              <w:jc w:val="center"/>
              <w:rPr>
                <w:rFonts w:ascii="宋体" w:hAnsi="宋体"/>
                <w:b/>
                <w:sz w:val="32"/>
                <w:szCs w:val="36"/>
              </w:rPr>
            </w:pPr>
          </w:p>
        </w:tc>
        <w:tc>
          <w:tcPr>
            <w:tcW w:w="50" w:type="dxa"/>
            <w:gridSpan w:val="2"/>
            <w:vAlign w:val="center"/>
          </w:tcPr>
          <w:p>
            <w:pPr>
              <w:jc w:val="center"/>
              <w:rPr>
                <w:rFonts w:ascii="宋体" w:hAnsi="宋体"/>
                <w:b/>
                <w:sz w:val="32"/>
                <w:szCs w:val="36"/>
              </w:rPr>
            </w:pPr>
          </w:p>
        </w:tc>
        <w:tc>
          <w:tcPr>
            <w:tcW w:w="50" w:type="dxa"/>
            <w:vAlign w:val="center"/>
          </w:tcPr>
          <w:p>
            <w:pPr>
              <w:rPr>
                <w:rFonts w:ascii="宋体"/>
                <w:sz w:val="24"/>
              </w:rPr>
            </w:pPr>
          </w:p>
        </w:tc>
        <w:tc>
          <w:tcPr>
            <w:tcW w:w="50" w:type="dxa"/>
            <w:vAlign w:val="center"/>
          </w:tcPr>
          <w:p>
            <w:pPr>
              <w:rPr>
                <w:rFonts w:ascii="宋体"/>
                <w:sz w:val="24"/>
              </w:rPr>
            </w:pPr>
          </w:p>
        </w:tc>
        <w:tc>
          <w:tcPr>
            <w:tcW w:w="50" w:type="dxa"/>
            <w:vAlign w:val="center"/>
          </w:tcPr>
          <w:p>
            <w:pPr>
              <w:rPr>
                <w:rFonts w:ascii="宋体"/>
                <w:sz w:val="24"/>
              </w:rPr>
            </w:pPr>
          </w:p>
        </w:tc>
        <w:tc>
          <w:tcPr>
            <w:tcW w:w="50" w:type="dxa"/>
            <w:vAlign w:val="center"/>
          </w:tcPr>
          <w:p>
            <w:pPr>
              <w:rPr>
                <w:rFonts w:ascii="宋体"/>
                <w:sz w:val="24"/>
              </w:rPr>
            </w:pPr>
          </w:p>
        </w:tc>
        <w:tc>
          <w:tcPr>
            <w:tcW w:w="50" w:type="dxa"/>
            <w:vAlign w:val="center"/>
          </w:tcPr>
          <w:p>
            <w:pPr>
              <w:rPr>
                <w:rFonts w:ascii="宋体"/>
                <w:sz w:val="24"/>
              </w:rPr>
            </w:pPr>
          </w:p>
        </w:tc>
        <w:tc>
          <w:tcPr>
            <w:tcW w:w="50" w:type="dxa"/>
            <w:vAlign w:val="center"/>
          </w:tcPr>
          <w:p>
            <w:pPr>
              <w:rPr>
                <w:rFonts w:ascii="宋体"/>
                <w:sz w:val="24"/>
              </w:rPr>
            </w:pPr>
          </w:p>
        </w:tc>
        <w:tc>
          <w:tcPr>
            <w:tcW w:w="50" w:type="dxa"/>
            <w:vAlign w:val="center"/>
          </w:tcPr>
          <w:p>
            <w:pPr>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基础设施</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夫勒斯诺市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加州高铁局：火车站</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加州高铁局已批准了夫勒斯诺市火车站项目。夫勒斯诺市火车站建成后将能接待来自美国第一条高铁（旧金山到洛杉矶）的旅客。</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color w:val="FF0000"/>
                <w:sz w:val="24"/>
              </w:rPr>
            </w:pPr>
            <w:r>
              <w:rPr>
                <w:rFonts w:hint="eastAsia" w:ascii="仿宋_GB2312" w:eastAsia="仿宋_GB2312"/>
                <w:sz w:val="24"/>
              </w:rPr>
              <w:t>34.11亿元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color w:val="FF0000"/>
                <w:sz w:val="24"/>
              </w:rPr>
            </w:pPr>
            <w:r>
              <w:rPr>
                <w:rFonts w:ascii="仿宋_GB2312" w:eastAsia="仿宋_GB2312"/>
                <w:sz w:val="24"/>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基础设施</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夫勒斯诺市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加州高铁局重型维护设备</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夫勒斯诺市的重型维护设备方案将用于该市火车保养。全美第一个高铁站选址夫勒斯诺市</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color w:val="FF0000"/>
                <w:sz w:val="24"/>
              </w:rPr>
            </w:pPr>
            <w:r>
              <w:rPr>
                <w:rFonts w:ascii="仿宋_GB2312" w:eastAsia="仿宋_GB2312"/>
                <w:sz w:val="24"/>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color w:val="FF0000"/>
                <w:sz w:val="24"/>
              </w:rPr>
            </w:pPr>
            <w:r>
              <w:rPr>
                <w:rFonts w:hint="eastAsia" w:ascii="仿宋_GB2312" w:eastAsia="仿宋_GB2312"/>
                <w:sz w:val="24"/>
              </w:rPr>
              <w:t>0.68亿元-3.41亿元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5000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678"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3</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基础设施：机场/轻轨/铁路/公路</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大洛杉矶地区</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洛杉矶地铁局：轨道项目加速实施计划</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该项目旨在推动大洛杉矶地区轻轨、机场和公共汽车等项目的落实。项目期待资金、私营部门的参与以及本地社区的支持。</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1323.47亿元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4</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基础设施：公园/休闲设施</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里德利市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里德利体育主题公园第二期</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开发一个10英亩的地区体育公园需要对总体规划作出相应调整，园区未来应该建设：体育场、步行路和其他公共设施。</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视询价</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0.31亿元</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不固定</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0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5</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房地产：酿酒厂</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克洛维斯市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“瑞士殖民地”葡萄酒厂项目</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克洛维斯市购买了16.56英亩的“瑞士老殖民地酿酒厂”的土地，以打造走进克洛维斯市的南部之门。</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0.07亿元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不固定</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6</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萨克拉门托市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铁路广场项目</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铁路广场重新定义萨克拉门托城区，成为城市发展的典范。该项目将囊括现代城市生活方式的所有元素：运输、工作、休闲和娱乐。</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244</w:t>
            </w:r>
            <w:r>
              <w:rPr>
                <w:rFonts w:hint="eastAsia" w:ascii="仿宋_GB2312" w:eastAsia="仿宋_GB2312"/>
                <w:sz w:val="24"/>
              </w:rPr>
              <w:t>英亩总体规划发展</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视询价</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7</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房地产：产业/商业</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圣塔克拉拉谷市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尼达姆牧场</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145英亩商业园区发展机遇：65个产业/商业土地（面积分别为1-30英亩），能容纳420万平方英尺的建筑。该园区紧邻规划中的迪士尼制片厂</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145</w:t>
            </w:r>
            <w:r>
              <w:rPr>
                <w:rFonts w:hint="eastAsia" w:ascii="仿宋_GB2312" w:eastAsia="仿宋_GB2312"/>
                <w:sz w:val="24"/>
              </w:rPr>
              <w:t>英亩商业园区</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视询价</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8</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房地产：商业</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夫勒斯诺市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富尔顿商场迪亚曼蒂</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迪亚曼蒂是一个含民用与商用住宅的项目，位于夫勒斯诺市市区最中心。该项目象征着加州大都会地区历史与未来的交融。</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0.68亿元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9</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房地产：多用途发展</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圣塔克拉拉谷市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维斯塔峡谷</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185英亩多功能开发的土地位于洛杉矶市区，居民步行就可往返于漂亮的住宅、创意的办公场所和社区咖啡馆。该项目开发始于2015年6月。</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185</w:t>
            </w:r>
            <w:r>
              <w:rPr>
                <w:rFonts w:hint="eastAsia" w:ascii="仿宋_GB2312" w:eastAsia="仿宋_GB2312"/>
                <w:sz w:val="24"/>
              </w:rPr>
              <w:t>英亩</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视询价</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10</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房地产：酒店/零售/会议中心</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丘拉维斯塔市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丘拉维斯塔湾前</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丘拉维斯塔湾前项目占地500余英亩，将打造为生机勃勃的居民区和世界级海滨休闲目的地。该项目还将创造上千个工作岗位，打造全新的公园，保护沿岸带资源，提供会议和旅游设施。</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88.69亿元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40.93亿元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500+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0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11</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房地产：商业/办公</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莫雷诺谷市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闲置地规划商业/办公用地计划</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该项目占地29.86英亩，是靠近美国60号国道的最佳商业选址，靠近医院和商场。</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 xml:space="preserve">29.86 </w:t>
            </w:r>
            <w:r>
              <w:rPr>
                <w:rFonts w:hint="eastAsia" w:ascii="仿宋_GB2312" w:eastAsia="仿宋_GB2312"/>
                <w:sz w:val="24"/>
              </w:rPr>
              <w:t>英亩</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w:t>
            </w:r>
            <w:r>
              <w:rPr>
                <w:rFonts w:hint="eastAsia" w:ascii="仿宋_GB2312" w:eastAsia="仿宋_GB2312"/>
                <w:sz w:val="24"/>
              </w:rPr>
              <w:t>.33亿元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12</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房地产：商业/医疗/办公</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莫雷诺谷市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闲置地规划商业/医疗/办公用地计划</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该项目的医疗、办公区临近美国第215&amp;60号国道，商业和办公区临近市区医院和河边大学的健康医疗系统中心，是莫市居民社区的西部门户。</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17.15</w:t>
            </w:r>
            <w:r>
              <w:rPr>
                <w:rFonts w:hint="eastAsia" w:ascii="仿宋_GB2312" w:eastAsia="仿宋_GB2312"/>
                <w:sz w:val="24"/>
              </w:rPr>
              <w:t>英亩</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0.1亿元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13</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房地产：商业不动产</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莫雷诺谷市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湖边村集市</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该项目占地10.34英亩，投资该项目可以免去重置成本。此外还赠送投资人23英亩的土地，可以作为额外开发项目或停车场。</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10.34</w:t>
            </w:r>
            <w:r>
              <w:rPr>
                <w:rFonts w:hint="eastAsia" w:ascii="仿宋_GB2312" w:eastAsia="仿宋_GB2312"/>
                <w:sz w:val="24"/>
              </w:rPr>
              <w:t>英亩</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0.50亿元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0.06亿元</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14</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房地产：土地开发</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兰卡斯特市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兰卡斯特商业公园</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兰卡斯特商业园目前有8英亩的闲置地，是办公和工业用地的理想选址。</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8</w:t>
            </w:r>
            <w:r>
              <w:rPr>
                <w:rFonts w:hint="eastAsia" w:ascii="仿宋_GB2312" w:eastAsia="仿宋_GB2312"/>
                <w:sz w:val="24"/>
              </w:rPr>
              <w:t>英亩</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15</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房地产：土地开发</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兰卡斯特市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福克斯工业走廊</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福克斯工业园南部当前有42英亩的闲置用地，是加工制造、仓储和分销的理想选址。</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val="en-US" w:eastAsia="zh-CN"/>
              </w:rPr>
            </w:pPr>
            <w:r>
              <w:rPr>
                <w:rFonts w:hint="eastAsia" w:ascii="仿宋_GB2312" w:eastAsia="仿宋_GB2312"/>
                <w:sz w:val="24"/>
                <w:lang w:val="en-US" w:eastAsia="zh-CN"/>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16</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房地产：土地开发</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兰卡斯特市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前沿中心</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前沿中心目前有6.9英亩的闲置用地，位于喷射鹰棒球联盟体育馆的正对面；另外两片位于停车场面积为1英亩的土地可作为餐厅。</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hint="eastAsia" w:ascii="仿宋_GB2312" w:eastAsia="仿宋_GB2312"/>
                <w:sz w:val="24"/>
                <w:lang w:eastAsia="zh-CN"/>
              </w:rPr>
            </w:pPr>
            <w:r>
              <w:rPr>
                <w:rFonts w:hint="eastAsia" w:ascii="仿宋_GB2312" w:eastAsia="仿宋_GB2312"/>
                <w:sz w:val="24"/>
                <w:lang w:val="en-US" w:eastAsia="zh-CN"/>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17</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电影娱乐业</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圣塔克拉拉谷市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巴伦西亚电影公司</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该娱乐电影厂占地12万平方英尺土地和5个演播室，离休闲娱乐区30英里。当前租给了哥伦比亚广播公司/派拉蒙，著名美剧《海军罪案调查处》拍摄于此。</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12</w:t>
            </w:r>
            <w:r>
              <w:rPr>
                <w:rFonts w:hint="eastAsia" w:ascii="仿宋_GB2312" w:eastAsia="仿宋_GB2312"/>
                <w:sz w:val="24"/>
              </w:rPr>
              <w:t>万平方英尺、5个摄影棚</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18</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创新：商业&amp;研究园区</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丘拉维斯塔市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大学园区&amp;创新区</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丘拉维斯塔市致力于在城市西部占地375英亩的土地上打造一所本科院校和创新区。在这里，学生、教师和企业将积极参与到本地经济、社会和文化建设。</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6.82亿元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40.93亿元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500+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19</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食品加工</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桑格市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倡议食品</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倡议食品有限责任公司是一家私营的婴幼儿食品贴牌制造商和分销商，该公司临近夫勒斯诺市。该公司专业管理团队目前致力于研发新产品和新市场。</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2.05亿元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0.68亿元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20</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食品加工</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夫勒斯诺市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奶酪面包坊</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P*DE*Q奶酪面包享誉各大零售店、餐厅和特产商店。该公司致力于将其产品推广至整个北美地区。目前正寻求投资商开拓亚洲、欧洲市场。</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ascii="仿宋_GB2312" w:eastAsia="仿宋_GB2312"/>
                <w:sz w:val="24"/>
              </w:rPr>
              <w:t>/</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0.03亿元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0.1亿元</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21</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能源：生物可再生</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因皮里尔县</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加州乙醇&amp;电力</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加州乙醇电力公司致力于建造系列发电厂，建成后每家发电厂能将约4万英亩甘蔗和3万英亩的甜菜转换为6600万加仑的低碳乙醇燃料，每年发电5000百万瓦，其中3400百万瓦电力将出口。</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109.15亿元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37.86亿元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22.51亿元</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200 -500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22</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能源：可再生</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埃尔森特罗市</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可控的地热能源</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该企业致力于开发因县的地热资源。该公司的发展理念为：通过规模和可量测减少可再生能源的平准化成本，使投资可行。地热发电站将采用结晶设备-反应器-过滤器的技术。</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57.99亿元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0.58亿元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9.55亿元</w:t>
            </w:r>
            <w:r>
              <w:rPr>
                <w:rFonts w:ascii="仿宋_GB2312" w:eastAsia="仿宋_GB2312"/>
                <w:sz w:val="24"/>
              </w:rPr>
              <w:t>/</w:t>
            </w:r>
            <w:r>
              <w:rPr>
                <w:rFonts w:hint="eastAsia" w:ascii="仿宋_GB2312" w:eastAsia="仿宋_GB2312"/>
                <w:sz w:val="24"/>
              </w:rPr>
              <w:t>年</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r>
        <w:tblPrEx>
          <w:tblLayout w:type="fixed"/>
          <w:tblCellMar>
            <w:top w:w="15" w:type="dxa"/>
            <w:left w:w="15" w:type="dxa"/>
            <w:bottom w:w="15" w:type="dxa"/>
            <w:right w:w="15" w:type="dxa"/>
          </w:tblCellMar>
        </w:tblPrEx>
        <w:trPr>
          <w:trHeight w:val="12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23</w:t>
            </w:r>
          </w:p>
        </w:tc>
        <w:tc>
          <w:tcPr>
            <w:tcW w:w="10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能源：可再生</w:t>
            </w:r>
          </w:p>
        </w:tc>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因皮里尔县</w:t>
            </w:r>
          </w:p>
        </w:tc>
        <w:tc>
          <w:tcPr>
            <w:tcW w:w="11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center"/>
              <w:rPr>
                <w:rFonts w:ascii="仿宋_GB2312" w:eastAsia="仿宋_GB2312"/>
                <w:sz w:val="24"/>
              </w:rPr>
            </w:pPr>
            <w:r>
              <w:rPr>
                <w:rFonts w:hint="eastAsia" w:ascii="仿宋_GB2312" w:eastAsia="仿宋_GB2312"/>
                <w:sz w:val="24"/>
              </w:rPr>
              <w:t>豆木湖水能</w:t>
            </w:r>
          </w:p>
        </w:tc>
        <w:tc>
          <w:tcPr>
            <w:tcW w:w="47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该项目致力于恢复因皮里尔县闲置的发电设备，该设备能从因皮里尔县灌溉区至棕榈沙漠变电区传输16.4百万瓦的电量。该发电站还能创造25个全职工作岗位，该项目从融资到商业运作需要9个月。</w:t>
            </w:r>
          </w:p>
        </w:tc>
        <w:tc>
          <w:tcPr>
            <w:tcW w:w="13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3.42亿元</w:t>
            </w:r>
          </w:p>
        </w:tc>
        <w:tc>
          <w:tcPr>
            <w:tcW w:w="12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hint="eastAsia" w:ascii="仿宋_GB2312" w:eastAsia="仿宋_GB2312"/>
                <w:sz w:val="24"/>
              </w:rPr>
            </w:pPr>
            <w:r>
              <w:rPr>
                <w:rFonts w:hint="eastAsia" w:ascii="仿宋_GB2312" w:eastAsia="仿宋_GB2312"/>
                <w:sz w:val="24"/>
              </w:rPr>
              <w:t>1.36亿元</w:t>
            </w:r>
          </w:p>
        </w:tc>
        <w:tc>
          <w:tcPr>
            <w:tcW w:w="10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hint="eastAsia" w:ascii="仿宋_GB2312" w:eastAsia="仿宋_GB2312"/>
                <w:sz w:val="24"/>
              </w:rPr>
              <w:t>0.75亿元</w:t>
            </w:r>
            <w:r>
              <w:rPr>
                <w:rFonts w:ascii="仿宋_GB2312" w:eastAsia="仿宋_GB2312"/>
                <w:sz w:val="24"/>
              </w:rPr>
              <w:t>/</w:t>
            </w:r>
            <w:r>
              <w:rPr>
                <w:rFonts w:hint="eastAsia" w:ascii="仿宋_GB2312" w:eastAsia="仿宋_GB2312"/>
                <w:sz w:val="24"/>
              </w:rPr>
              <w:t>年</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2" w:lineRule="auto"/>
              <w:jc w:val="left"/>
              <w:rPr>
                <w:rFonts w:ascii="仿宋_GB2312" w:eastAsia="仿宋_GB2312"/>
                <w:sz w:val="24"/>
              </w:rPr>
            </w:pPr>
            <w:r>
              <w:rPr>
                <w:rFonts w:ascii="仿宋_GB2312" w:eastAsia="仿宋_GB2312"/>
                <w:sz w:val="24"/>
              </w:rPr>
              <w:t>0 -100</w:t>
            </w:r>
          </w:p>
        </w:tc>
        <w:tc>
          <w:tcPr>
            <w:tcW w:w="926" w:type="dxa"/>
            <w:vAlign w:val="center"/>
          </w:tcPr>
          <w:p>
            <w:pPr>
              <w:jc w:val="left"/>
              <w:rPr>
                <w:rFonts w:ascii="宋体"/>
                <w:sz w:val="24"/>
              </w:rPr>
            </w:pPr>
          </w:p>
        </w:tc>
        <w:tc>
          <w:tcPr>
            <w:tcW w:w="88"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gridSpan w:val="2"/>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c>
          <w:tcPr>
            <w:tcW w:w="50" w:type="dxa"/>
            <w:vAlign w:val="center"/>
          </w:tcPr>
          <w:p>
            <w:pPr>
              <w:jc w:val="left"/>
              <w:rPr>
                <w:rFonts w:ascii="宋体"/>
                <w:sz w:val="24"/>
              </w:rPr>
            </w:pPr>
          </w:p>
        </w:tc>
      </w:tr>
    </w:tbl>
    <w:p/>
    <w:p/>
    <w:p/>
    <w:p>
      <w:r>
        <w:rPr>
          <w:rFonts w:hint="eastAsia" w:ascii="仿宋_GB2312" w:eastAsia="仿宋_GB2312"/>
          <w:sz w:val="30"/>
          <w:szCs w:val="30"/>
        </w:rPr>
        <w:t>（注：汇率按1</w:t>
      </w:r>
      <w:r>
        <w:rPr>
          <w:rFonts w:ascii="仿宋_GB2312" w:eastAsia="仿宋_GB2312"/>
          <w:sz w:val="30"/>
          <w:szCs w:val="30"/>
        </w:rPr>
        <w:t>2</w:t>
      </w:r>
      <w:r>
        <w:rPr>
          <w:rFonts w:hint="eastAsia" w:ascii="仿宋_GB2312" w:eastAsia="仿宋_GB2312"/>
          <w:sz w:val="30"/>
          <w:szCs w:val="30"/>
        </w:rPr>
        <w:t>月</w:t>
      </w:r>
      <w:r>
        <w:rPr>
          <w:rFonts w:ascii="仿宋_GB2312" w:eastAsia="仿宋_GB2312"/>
          <w:sz w:val="30"/>
          <w:szCs w:val="30"/>
        </w:rPr>
        <w:t>5</w:t>
      </w:r>
      <w:r>
        <w:rPr>
          <w:rFonts w:hint="eastAsia" w:ascii="仿宋_GB2312" w:eastAsia="仿宋_GB2312"/>
          <w:sz w:val="30"/>
          <w:szCs w:val="30"/>
        </w:rPr>
        <w:t>日中国银行网站卖出价计算，美元兑人民币</w:t>
      </w:r>
      <w:r>
        <w:rPr>
          <w:rFonts w:ascii="仿宋_GB2312" w:eastAsia="仿宋_GB2312"/>
          <w:sz w:val="30"/>
          <w:szCs w:val="30"/>
        </w:rPr>
        <w:t>6.822</w:t>
      </w:r>
      <w:r>
        <w:rPr>
          <w:rFonts w:hint="eastAsia" w:ascii="仿宋_GB2312" w:eastAsia="仿宋_GB2312"/>
          <w:sz w:val="30"/>
          <w:szCs w:val="30"/>
        </w:rPr>
        <w:t>计算。）</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iti SC Light">
    <w:altName w:val="Arial Unicode MS"/>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0"/>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27E80"/>
    <w:rsid w:val="20327E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2017-01-03T07:27:00Z</dcterms:created>
  <dc:creator>aisi</dc:creator>
  <cp:lastModifiedBy>aisi</cp:lastModifiedBy>
  <dcterms:modified xsi:type="dcterms:W3CDTF">2017-01-03T07:29:04Z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